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99" w:rsidRPr="000E0999" w:rsidRDefault="000E0999" w:rsidP="000E0999">
      <w:pPr>
        <w:shd w:val="clear" w:color="auto" w:fill="F7F7F7"/>
        <w:spacing w:after="75" w:line="312" w:lineRule="atLeast"/>
        <w:outlineLvl w:val="1"/>
        <w:rPr>
          <w:rFonts w:ascii="Tahoma" w:eastAsia="Times New Roman" w:hAnsi="Tahoma" w:cs="Tahoma"/>
          <w:b/>
          <w:bCs/>
          <w:color w:val="7A7A7A"/>
          <w:sz w:val="24"/>
          <w:szCs w:val="24"/>
          <w:lang w:eastAsia="ru-RU"/>
        </w:rPr>
      </w:pPr>
      <w:r w:rsidRPr="000E0999">
        <w:rPr>
          <w:rFonts w:ascii="Tahoma" w:eastAsia="Times New Roman" w:hAnsi="Tahoma" w:cs="Tahoma"/>
          <w:b/>
          <w:bCs/>
          <w:color w:val="7A7A7A"/>
          <w:sz w:val="24"/>
          <w:szCs w:val="24"/>
          <w:lang w:eastAsia="ru-RU"/>
        </w:rPr>
        <w:t>Об актуальных вопросах противодействия коррупции</w:t>
      </w:r>
    </w:p>
    <w:p w:rsidR="000E0999" w:rsidRPr="000E0999" w:rsidRDefault="000E0999" w:rsidP="000E0999">
      <w:pPr>
        <w:shd w:val="clear" w:color="auto" w:fill="F7F7F7"/>
        <w:spacing w:before="75" w:after="75" w:line="240" w:lineRule="auto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bookmarkStart w:id="0" w:name="_GoBack"/>
      <w:bookmarkEnd w:id="0"/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Противодействие коррупции в структурах муниципального управления продолжают оставаться одной из самых актуальных проблем.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Под коррупцией понимается: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б) совершение деяний, указанных в подпункте «а» настоящего пункта, от имени или в интересах юридического лица;</w:t>
      </w:r>
    </w:p>
    <w:p w:rsidR="000E0999" w:rsidRPr="000E0999" w:rsidRDefault="000E0999" w:rsidP="000E0999">
      <w:pPr>
        <w:shd w:val="clear" w:color="auto" w:fill="F7F7F7"/>
        <w:spacing w:before="75" w:after="75" w:line="240" w:lineRule="auto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Для борьбы с этим явлением и в развитие общих обязанностей и ограничений муниципального служащего, установленных ст. 12 и ст. 13 Федерального закона от 02.03.2007 № 25-ФЗ «О муниципальной службе в Российской Федерации», 14 статья предусматривает ряд дополнительных ситуаций, которые несовместимы с замещением должности муниципальной службы. Эти обстоятельства законодатель называет запретами, связанными с муниципальной службой.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Самая значительная группа запретов имеет целью противодействие коррупции.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К данной группе относятся следующие запреты.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1. Запрет муниципальному служащему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2. Запрет муниципальному служащему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3. Запрет муниципальному служащему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4. Запрет муниципальному служащему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5. Запрет муниципальному служащему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6. Запрет муниципальному служащему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0E0999" w:rsidRPr="000E0999" w:rsidRDefault="000E0999" w:rsidP="000E0999">
      <w:pPr>
        <w:shd w:val="clear" w:color="auto" w:fill="F7F7F7"/>
        <w:spacing w:before="75" w:after="75" w:line="240" w:lineRule="auto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Правовое регулирование вопросов получения подарков муниципальными служащими в современном антикоррупционном законодательстве занимает одну из ключевых позиций. Так, п. 7 ч. 3 ст. 12.1 Федерального закона «О противодействии коррупции» предусмотрено, что лица, замещающие муниципальные должности и осуществляющие свои полномочия на постоянной основе, 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и подарки от физических и юридических лиц. При этом законодательством предусмотрена лишь возможность получения подарков в связи с протокольными мероприятиями, со служебными командировками и с другими официальными мероприятиями.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Актуальность этого вопроса сложно переоценить. Зачастую вручение подарка является не только способом получения определенных преференций вопреки установленному порядку, но завуалированной формой взятки, особенно в том случае, если она вручается после выполнения определенных действий в интересах взяткодателя. Превентивные меры, связанные с ограничением поощрения муниципального служащего, а также лиц, замещающих муниципальные должности, в виде подарков, остаются одним из эффективных рычагов профилактики коррупционных правонарушений.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lastRenderedPageBreak/>
        <w:t>Законодательно определен круг ситуаций, при которых получение подарка не считается противоправным. К ним отнесены протокольные мероприятия, служебные командировки и другие официальные мероприятия.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</w:t>
      </w:r>
    </w:p>
    <w:p w:rsidR="000E0999" w:rsidRPr="000E0999" w:rsidRDefault="000E0999" w:rsidP="000E0999">
      <w:pPr>
        <w:shd w:val="clear" w:color="auto" w:fill="F7F7F7"/>
        <w:spacing w:before="75" w:after="75" w:line="240" w:lineRule="auto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В силу части 1 статьи 11 Федерального закона от 25.12.2008 № 273-ФЗ «О противодействии коррупции» государственный или муниципальный служащий обязан принимать меры по недопущению любой возможности возникновения конфликта интересов.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соответствии с частью 1 статьи 10 Федерального закона от 25 декабря 2008 года № 273-ФЗ «О противодействии коррупции»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Меры, которые должен принять служащий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1) сообщить представителю нанимателя о возникшем конфликте интересов или о возможности его возникновения. Для этого необходимо направить представителю нанимателя соответствующее уведомление;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2) при необходимости осуществить самоотвод;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3) отказаться от выгоды, ставшей причиной возникновения конфликта интересов;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4) передать принадлежащие ему ценные бумаги (доли участия, паи в уставных (складочных) капиталах организаций) в доверительное управление, если владение ими приводит или может привести к конфликту интересов.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Непринятие служащим мер по предотвращению или урегулированию конфликта интересов является правонарушением, влекущим увольнение.</w:t>
      </w:r>
    </w:p>
    <w:p w:rsidR="000E0999" w:rsidRPr="000E0999" w:rsidRDefault="000E0999" w:rsidP="000E0999">
      <w:pPr>
        <w:shd w:val="clear" w:color="auto" w:fill="F7F7F7"/>
        <w:spacing w:before="75" w:after="75" w:line="240" w:lineRule="auto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В соответствии с ч. 1.1 и 1.2 ст. 15 Закона № 25-ФЗ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Федеральными законами от 25.12.2008 № 273-ФЗ «О противодействии коррупции» и от 03.12.2012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E0999" w:rsidRPr="000E0999" w:rsidRDefault="000E0999" w:rsidP="000E0999">
      <w:pPr>
        <w:shd w:val="clear" w:color="auto" w:fill="F7F7F7"/>
        <w:spacing w:before="75" w:after="75" w:line="240" w:lineRule="auto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Типичные ошибки, допускаемые муниципальными служащими при заполнении справок о доходах, расходах, об имуществе и обязательствах имущественного характера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разделе «Сведения о расходах»: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1) Данный раздел справки заполняется только в случае, если в отчетном периоде служащим, его супругой (супругом) и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2) не правильно указываются реквизиты документов в графе «Основания приобретения имущества».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качестве «Основания приобретения имущества» указываются реквизиты свидетельства о государственной регистрации права собственности на недвижимое имущество, а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разделе «Сведения об имуществе»: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1) не правильно указывается вид собственности недвижимого имущества.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графе «Вид собственности» необходимо указывать вид собственности на имущество (индивидуальная, общая совместная, общая долевая).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При заполнении справки для совместной собственности дополнительно указываются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2) не правильно указывается площадь недвижимого имущества и есть разночтения в указании площади квартир за 2014 год и 205 годы.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lastRenderedPageBreak/>
        <w:t>Площадь объекта недвижимого имущества указывается на основании правоустанавливающих документов. Если за 2014 и 2015 годы указана разная площадь квартиры, то сведения указывались не в соответствии с правоустанавливающими документами; либо в 2014 году указана жилая площадь квартиры, а не общая; либо указана только доля владения данным имуществом.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Данную графу необходимо заполнять в соответствии с правоустанавливающими документами с указанием площади в квадратных метрах. Указанию подлежит общую площадь имущества, даже если оно находится в долевой собственности;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3) не правильно заполняется графа «Основание приобретения и источник средств».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Для каждого объекта недвижимого имущества указывается основание приобретения, то есть реквизиты свидетельства о государственной регистрации права собственности или документа, являющегося законным основанием для возникновения права собственности.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подразделе «Транспортные средства»: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1) не правильно указывается место регистрации транспортного средства (указывается населенный пункт).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При заполнении графы «Место регистрации» указывается наименование органа внутренних дел, осуществившего регистрационный учёт транспортного средства.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разделе «Сведения о счетах в банках и иных кредитных организациях»: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1) неправильно указывается наименование и адрес банка или иной кредитной организации.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Необходимо отражать полное наименование банка (филиал, отделение и т.д.), а также полностью указывать адрес банка (индекс, субъект Российской Федерации, город, улица, номер дома).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2) неправильно указывается информация о счете;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Служащие допускают ошибки при определении вида счет, а также остатков средств на счете. Например, указывают название вклада, а не вид счёта, не указывают информацию о валюте счёта и т.д. Во избежание совершения таких ошибок необходимо пользоваться информацией, предоставляемой банком.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разделе справки «Сведения о счетах в банках и иных кредитных организациях»: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1) у служащего имеется кредит, однако счёт для погашения кредита не указан.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данном разделе необходимо отражать все счета, открытые служащим и членами его семьи. Как правило, банки открывают счета, для целей внесения денежных средств, для погашения кредита. В связи, с чем служащему необходимо помнить, что наличие кредита подразумевает под собой наличие соответствующего счета.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2) неправильно указывается остаток на счете по кредитной карте.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необходимо указывать ноль «0».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3) не правильно заполняется графа «Сумма поступивших на счет денежных средств».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Данная графа заполняется только в случае, если общая сумма денежных поступлений на счет за отчетный период превышает общий доход служащего и его супруги (супруга) за отчетный период и два предшествующих ему года.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разделе «Сведения об обязательствах имущественного характера»: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подразделе «Объекты недвижимого имущества, находящиеся в пользовании»: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1) служащий ошибочно указывает в данном разделе недвижимое имущество, которое принадлежит ему на праве собственности.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данном подразделе не указывается недвижимое имущество, которое находится в собственности и уже отражено в подразделе «Недвижимое имущество» справки о доходах.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случае, если объект недвижимого имущества находится в долевой собственности у служащего и его супруги, сведения о том, что служащий пользуется долей объекта недвижимого имущества, принадлежащей на праве собственности его супруге, в подраздел «Объекты недвижимого имущества, находящиеся в пользовании» справки, не вносятся. При этом данные доли собственности должны быть отражены в подразделе «Недвижимое имущество» справок служащего и его супруги;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2) служащий не выполнил обязанность по заполнению данного подраздела.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служащего, его супруги (супруга), несовершеннолетних детей, а также основание пользования (договор аренды, фактическое предоставление и другие).</w:t>
      </w:r>
    </w:p>
    <w:p w:rsidR="000E0999" w:rsidRPr="000E0999" w:rsidRDefault="000E0999" w:rsidP="000E0999">
      <w:pPr>
        <w:shd w:val="clear" w:color="auto" w:fill="F7F7F7"/>
        <w:spacing w:before="75" w:after="75" w:line="240" w:lineRule="auto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В соответствии с ч. 2 ст. 11 Закона № 25-ФЗ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Если муниципальный служащий не уведомил работодателя о выполнении иной оплачиваемой работы, он в первую очередь может быть привлечен к дисциплинарной ответственности за несоблюдение требований ст. 11 Закона № 25-ФЗ и нормативного акта муниципального органа, устанавливающего порядок такого уведомления (если акт есть).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Если, кроме этого, при работе по совместительству будет установлен конфликт интересов, то муниципальный служащий подлежит увольнению в соответствии с ч. 2 ст. 27.1 Закона № 25-ФЗ за утрату доверия в связи с невыполнением обязанности информировать о конфликте интересов.</w:t>
      </w:r>
    </w:p>
    <w:p w:rsidR="000E0999" w:rsidRPr="000E0999" w:rsidRDefault="000E0999" w:rsidP="000E0999">
      <w:pPr>
        <w:shd w:val="clear" w:color="auto" w:fill="F7F7F7"/>
        <w:spacing w:before="75" w:after="75" w:line="240" w:lineRule="auto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Вступил в силу Закон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согласно которому с 01.07.2016 муниципальные служащие должны информировать нанимателя о размещении сведений о себе в Интернете.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lastRenderedPageBreak/>
        <w:t xml:space="preserve">Речь идет об адресах сайтов и (или) их страниц, на которых служащий или претендент на замещение должности гражданской службы размещал общедоступную информацию, а также данные, позволяющие их идентифицировать (например, данные о страницах в </w:t>
      </w:r>
      <w:proofErr w:type="spellStart"/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соцсетях</w:t>
      </w:r>
      <w:proofErr w:type="spellEnd"/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).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Однако если сведения размещены в рамках исполнения должностных обязанностей служащего, и они являются общедоступной информацией, то сообщать об их размещении в Сети не требуется.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 xml:space="preserve">При поступлении на службу претендент, кроме всего прочего, должен указать адреса своих страниц в </w:t>
      </w:r>
      <w:proofErr w:type="spellStart"/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соцсетях</w:t>
      </w:r>
      <w:proofErr w:type="spellEnd"/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 xml:space="preserve"> и на аналогичных </w:t>
      </w:r>
      <w:proofErr w:type="spellStart"/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информресурсах</w:t>
      </w:r>
      <w:proofErr w:type="spellEnd"/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. Такая информация предоставляется нанимателю при заключении контракта за три последних календарных года, а в дальнейшем - ежегодно.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Распоряжением Правительства Российской Федерации от 28.12.2016 № 2867-р утверждена форма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размещалась общедоступная информация, а также данные, позволяющие его идентифицировать.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Наниматель должен назначить, ответственных за мониторинг общедоступной информации, размещенной в Интернете, а также проверку достоверности и полноты предоставленных сведений.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К причинам, по которыми гражданин не может быть принят на службу, а служащий не может продолжать выполнение обязанностей, добавлена еще одна - непредставление сведений о размещении персональной информации в Интернете.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соответствии со ст. 151 Федерального закона от 02.03.2007 № 25-ФЗ «О муниципальной службе в Российской Федерации» в 2017 году указанные сведения представляются в кадровую службу муниципальными служащими не позднее 01.04.2017 за отчетный 2016 год, гражданами – при поступлении на службу за 3 отчетных года (2014-2016).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Также изменились квалификационные требования к специалистам, занятым на муниципальной службе.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Изменения, внесенные в Закон о муниципальной службе, предполагают совершенствование правового механизма реализации принципов профессионализма и компетентности, единства основных квалификационных требований к должностям муниципальной службы, установленных Законами.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 xml:space="preserve">Квалификационные требования к образованию приведены в соответствие положениям Закона об образовании, которым определены различные уровни высшего профобразования - </w:t>
      </w:r>
      <w:proofErr w:type="spellStart"/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бакалавриат</w:t>
      </w:r>
      <w:proofErr w:type="spellEnd"/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 xml:space="preserve">, </w:t>
      </w:r>
      <w:proofErr w:type="spellStart"/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специалитет</w:t>
      </w:r>
      <w:proofErr w:type="spellEnd"/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 xml:space="preserve"> и магистратура.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В квалификационные требования для замещения должностей муниципальной службы включены нормы о специальности, направлении подготовки (при наличии соответствующего решения представителя нанимателя).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Для замещения должности муниципальной службы необходимо соответствие квалификационным требованиям к уровню профессионального образования, стажу службы или работы по специальности, направлению подготовки, знаниям и умениям, которые нужны для исполнения должностных обязанностей, а также - при наличии соответствующего решения представителя нанимателя (работодателя) - к специальности, направлению подготовки (ч. 1 ст. 9 Закона о муниципальной службе).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Нововведения уточняют параметры соответствия квалификационным требованиям.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Так, квалификационные требования к уровню профобразования, стажу устанавливаются муниципальными правовыми актами на основе типовых квалификационных требований для замещения должностей муниципальной службы. Эти типовые квалификационные требования определяются законом субъекта РФ в соответствии с классификацией должностей муниципальной службы.</w:t>
      </w:r>
      <w:r w:rsidRPr="000E0999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br/>
        <w:t>Квалификационные требования к знаниям и умениям устанавливаются должностной инструкцией в зависимости от области и вида профессиональной служебной деятельности служащего. Инструкцией могут также предусматриваться квалификационные требования к специальности, направлению подготовки (ч. 1, 2 ст. 9 Закона о муниципальной службе).</w:t>
      </w:r>
    </w:p>
    <w:p w:rsidR="00373506" w:rsidRDefault="00373506"/>
    <w:sectPr w:rsidR="0037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40375"/>
    <w:multiLevelType w:val="multilevel"/>
    <w:tmpl w:val="A1968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B8"/>
    <w:rsid w:val="000E0999"/>
    <w:rsid w:val="00373506"/>
    <w:rsid w:val="00DD0021"/>
    <w:rsid w:val="00E0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92148-3C8F-4A25-BA24-1C4D1A3D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2999</Words>
  <Characters>17099</Characters>
  <Application>Microsoft Office Word</Application>
  <DocSecurity>0</DocSecurity>
  <Lines>142</Lines>
  <Paragraphs>40</Paragraphs>
  <ScaleCrop>false</ScaleCrop>
  <Company/>
  <LinksUpToDate>false</LinksUpToDate>
  <CharactersWithSpaces>20058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GusevaNL</dc:creator>
  <cp:keywords/>
  <dc:description/>
  <cp:lastModifiedBy>GusevaNL</cp:lastModifiedBy>
  <cp:revision>3</cp:revision>
  <dcterms:created xsi:type="dcterms:W3CDTF">2022-04-01T11:47:00Z</dcterms:created>
  <dcterms:modified xsi:type="dcterms:W3CDTF">2022-04-01T11:58:00Z</dcterms:modified>
</cp:coreProperties>
</file>